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7D70D" w14:textId="77777777" w:rsidR="00C726B3" w:rsidRDefault="00C726B3" w:rsidP="00C726B3">
      <w:pPr>
        <w:rPr>
          <w:rFonts w:ascii="Lato" w:hAnsi="Lato"/>
          <w:b/>
          <w:bCs/>
          <w:sz w:val="32"/>
          <w:szCs w:val="32"/>
        </w:rPr>
      </w:pPr>
    </w:p>
    <w:p w14:paraId="31815B86" w14:textId="700532B9" w:rsidR="00C726B3" w:rsidRDefault="00C726B3" w:rsidP="00C726B3">
      <w:pPr>
        <w:rPr>
          <w:rFonts w:ascii="Lato" w:hAnsi="Lato"/>
          <w:b/>
          <w:bCs/>
          <w:sz w:val="32"/>
          <w:szCs w:val="32"/>
        </w:rPr>
      </w:pPr>
      <w:r w:rsidRPr="001E2353">
        <w:rPr>
          <w:rFonts w:ascii="Lato" w:hAnsi="Lato"/>
          <w:b/>
          <w:bCs/>
          <w:sz w:val="32"/>
          <w:szCs w:val="32"/>
        </w:rPr>
        <w:t>FAQ - Updated Chiropractic Rate Card with MPI for January 1, 2026 to March 31, 2030</w:t>
      </w:r>
    </w:p>
    <w:p w14:paraId="4FAB3B44" w14:textId="77777777" w:rsidR="00BC3464" w:rsidRPr="00C726B3" w:rsidRDefault="00BC3464">
      <w:pPr>
        <w:rPr>
          <w:rFonts w:ascii="Lato" w:hAnsi="Lato"/>
        </w:rPr>
      </w:pPr>
    </w:p>
    <w:p w14:paraId="60D3555D" w14:textId="3D714262" w:rsidR="00C726B3" w:rsidRPr="00C726B3" w:rsidRDefault="00C726B3" w:rsidP="00C726B3">
      <w:pPr>
        <w:pStyle w:val="ListParagraph"/>
        <w:numPr>
          <w:ilvl w:val="0"/>
          <w:numId w:val="1"/>
        </w:numPr>
        <w:rPr>
          <w:rFonts w:ascii="Lato" w:hAnsi="Lato"/>
          <w:b/>
          <w:bCs/>
        </w:rPr>
      </w:pPr>
      <w:r w:rsidRPr="00C726B3">
        <w:rPr>
          <w:rFonts w:ascii="Lato" w:hAnsi="Lato"/>
          <w:b/>
          <w:bCs/>
        </w:rPr>
        <w:t>Agreements</w:t>
      </w:r>
    </w:p>
    <w:p w14:paraId="7F7D633C" w14:textId="77777777" w:rsidR="00C726B3" w:rsidRPr="00C726B3" w:rsidRDefault="00C726B3" w:rsidP="00C726B3">
      <w:pPr>
        <w:pStyle w:val="ListParagraph"/>
        <w:numPr>
          <w:ilvl w:val="1"/>
          <w:numId w:val="1"/>
        </w:numPr>
        <w:rPr>
          <w:rFonts w:ascii="Lato" w:hAnsi="Lato"/>
        </w:rPr>
      </w:pPr>
      <w:r w:rsidRPr="00C726B3">
        <w:rPr>
          <w:rFonts w:ascii="Lato" w:hAnsi="Lato"/>
        </w:rPr>
        <w:t>For chiropractors who have current signed agreements with MPI, an agreement does not need to be signed with this rate card update.</w:t>
      </w:r>
    </w:p>
    <w:p w14:paraId="56B3BD50" w14:textId="77777777" w:rsidR="00C726B3" w:rsidRPr="00C726B3" w:rsidRDefault="00C726B3" w:rsidP="00C726B3">
      <w:pPr>
        <w:pStyle w:val="ListParagraph"/>
        <w:numPr>
          <w:ilvl w:val="1"/>
          <w:numId w:val="1"/>
        </w:numPr>
        <w:rPr>
          <w:rFonts w:ascii="Lato" w:hAnsi="Lato"/>
        </w:rPr>
      </w:pPr>
      <w:r w:rsidRPr="00C726B3">
        <w:rPr>
          <w:rFonts w:ascii="Lato" w:hAnsi="Lato"/>
        </w:rPr>
        <w:t>MPI will continue to liaise with the MCA on a regular basis on general concerns/feedback from the membership.  As MPI has agreements with individual providers, if members have specific questions/concerns about MPI claims/claims handling, they can reach out directly to the Manager of Health Care Services, Courtney McGill, to address these specific claims issues.</w:t>
      </w:r>
    </w:p>
    <w:p w14:paraId="38D4C2FC" w14:textId="77777777" w:rsidR="00C726B3" w:rsidRPr="00C726B3" w:rsidRDefault="00C726B3" w:rsidP="00C726B3">
      <w:pPr>
        <w:pStyle w:val="ListParagraph"/>
        <w:ind w:left="1440"/>
        <w:rPr>
          <w:rFonts w:ascii="Lato" w:hAnsi="Lato"/>
        </w:rPr>
      </w:pPr>
    </w:p>
    <w:p w14:paraId="22DC4614" w14:textId="2840A9A8" w:rsidR="00C726B3" w:rsidRPr="00C726B3" w:rsidRDefault="00C726B3" w:rsidP="00C726B3">
      <w:pPr>
        <w:pStyle w:val="ListParagraph"/>
        <w:numPr>
          <w:ilvl w:val="0"/>
          <w:numId w:val="1"/>
        </w:numPr>
        <w:rPr>
          <w:rFonts w:ascii="Lato" w:hAnsi="Lato"/>
          <w:b/>
          <w:bCs/>
        </w:rPr>
      </w:pPr>
      <w:r w:rsidRPr="00C726B3">
        <w:rPr>
          <w:rFonts w:ascii="Lato" w:hAnsi="Lato"/>
          <w:b/>
          <w:bCs/>
        </w:rPr>
        <w:t xml:space="preserve">Rate </w:t>
      </w:r>
      <w:r>
        <w:rPr>
          <w:rFonts w:ascii="Lato" w:hAnsi="Lato"/>
          <w:b/>
          <w:bCs/>
        </w:rPr>
        <w:t>I</w:t>
      </w:r>
      <w:r w:rsidRPr="00C726B3">
        <w:rPr>
          <w:rFonts w:ascii="Lato" w:hAnsi="Lato"/>
          <w:b/>
          <w:bCs/>
        </w:rPr>
        <w:t xml:space="preserve">ncreases </w:t>
      </w:r>
    </w:p>
    <w:p w14:paraId="1C304345" w14:textId="77777777" w:rsidR="00C726B3" w:rsidRPr="000C088E" w:rsidRDefault="00C726B3" w:rsidP="00C726B3">
      <w:pPr>
        <w:pStyle w:val="ListParagraph"/>
        <w:numPr>
          <w:ilvl w:val="1"/>
          <w:numId w:val="1"/>
        </w:numPr>
        <w:rPr>
          <w:rFonts w:ascii="Lato" w:hAnsi="Lato"/>
        </w:rPr>
      </w:pPr>
      <w:r w:rsidRPr="000C088E">
        <w:rPr>
          <w:rFonts w:ascii="Lato" w:hAnsi="Lato"/>
        </w:rPr>
        <w:t>Rate increases – most services saw an increase in services, with the most significant increases in initial and subsequent treatment visits.</w:t>
      </w:r>
    </w:p>
    <w:p w14:paraId="3B168A5A" w14:textId="77777777" w:rsidR="00C726B3" w:rsidRDefault="00C726B3" w:rsidP="00C726B3">
      <w:pPr>
        <w:pStyle w:val="ListParagraph"/>
        <w:numPr>
          <w:ilvl w:val="1"/>
          <w:numId w:val="1"/>
        </w:numPr>
        <w:rPr>
          <w:rFonts w:ascii="Lato" w:hAnsi="Lato"/>
        </w:rPr>
      </w:pPr>
      <w:r w:rsidRPr="000C088E">
        <w:rPr>
          <w:rFonts w:ascii="Lato" w:hAnsi="Lato"/>
        </w:rPr>
        <w:t xml:space="preserve">Rate changes will be applied to all services rendered regardless of the date of the MVA.  </w:t>
      </w:r>
    </w:p>
    <w:p w14:paraId="63A8AD0A" w14:textId="77777777" w:rsidR="00C726B3" w:rsidRDefault="00C726B3" w:rsidP="00C726B3">
      <w:pPr>
        <w:pStyle w:val="ListParagraph"/>
        <w:ind w:left="1440"/>
        <w:rPr>
          <w:rFonts w:ascii="Lato" w:hAnsi="Lato"/>
        </w:rPr>
      </w:pPr>
    </w:p>
    <w:p w14:paraId="580406A2" w14:textId="77777777" w:rsidR="00C726B3" w:rsidRDefault="00C726B3" w:rsidP="00C726B3">
      <w:pPr>
        <w:pStyle w:val="ListParagraph"/>
        <w:numPr>
          <w:ilvl w:val="0"/>
          <w:numId w:val="1"/>
        </w:numPr>
        <w:rPr>
          <w:rFonts w:ascii="Lato" w:hAnsi="Lato"/>
          <w:b/>
          <w:bCs/>
        </w:rPr>
      </w:pPr>
      <w:r w:rsidRPr="00C726B3">
        <w:rPr>
          <w:rFonts w:ascii="Lato" w:hAnsi="Lato"/>
          <w:b/>
          <w:bCs/>
        </w:rPr>
        <w:t>Summary of Changes</w:t>
      </w:r>
    </w:p>
    <w:p w14:paraId="4DD392B4" w14:textId="13950C42" w:rsidR="00C726B3" w:rsidRPr="00C726B3" w:rsidRDefault="00C726B3" w:rsidP="00C726B3">
      <w:pPr>
        <w:pStyle w:val="ListParagraph"/>
        <w:numPr>
          <w:ilvl w:val="1"/>
          <w:numId w:val="1"/>
        </w:numPr>
        <w:rPr>
          <w:rFonts w:ascii="Lato" w:hAnsi="Lato"/>
        </w:rPr>
      </w:pPr>
      <w:r w:rsidRPr="00C726B3">
        <w:rPr>
          <w:rFonts w:ascii="Lato" w:hAnsi="Lato"/>
        </w:rPr>
        <w:t>Category 1: $1250 to $1300</w:t>
      </w:r>
    </w:p>
    <w:p w14:paraId="48AFF2A9" w14:textId="77777777" w:rsidR="00C726B3" w:rsidRPr="000C088E" w:rsidRDefault="00C726B3" w:rsidP="00C726B3">
      <w:pPr>
        <w:pStyle w:val="ListParagraph"/>
        <w:numPr>
          <w:ilvl w:val="1"/>
          <w:numId w:val="5"/>
        </w:numPr>
        <w:rPr>
          <w:rFonts w:ascii="Lato" w:hAnsi="Lato"/>
        </w:rPr>
      </w:pPr>
      <w:r w:rsidRPr="000C088E">
        <w:rPr>
          <w:rFonts w:ascii="Lato" w:hAnsi="Lato"/>
        </w:rPr>
        <w:t>Category 2: $625 to $675</w:t>
      </w:r>
    </w:p>
    <w:p w14:paraId="20FD0D1F" w14:textId="77777777" w:rsidR="00C726B3" w:rsidRPr="000C088E" w:rsidRDefault="00C726B3" w:rsidP="00C726B3">
      <w:pPr>
        <w:pStyle w:val="ListParagraph"/>
        <w:numPr>
          <w:ilvl w:val="1"/>
          <w:numId w:val="5"/>
        </w:numPr>
        <w:rPr>
          <w:rFonts w:ascii="Lato" w:hAnsi="Lato"/>
        </w:rPr>
      </w:pPr>
      <w:r w:rsidRPr="000C088E">
        <w:rPr>
          <w:rFonts w:ascii="Lato" w:hAnsi="Lato"/>
        </w:rPr>
        <w:t>Combined Category 1 and 2 limit: $1800 to $1975</w:t>
      </w:r>
    </w:p>
    <w:p w14:paraId="26ED1BEE" w14:textId="77777777" w:rsidR="00C726B3" w:rsidRPr="000C088E" w:rsidRDefault="00C726B3" w:rsidP="00C726B3">
      <w:pPr>
        <w:pStyle w:val="ListParagraph"/>
        <w:numPr>
          <w:ilvl w:val="1"/>
          <w:numId w:val="5"/>
        </w:numPr>
        <w:rPr>
          <w:rFonts w:ascii="Lato" w:hAnsi="Lato"/>
        </w:rPr>
      </w:pPr>
      <w:r w:rsidRPr="000C088E">
        <w:rPr>
          <w:rFonts w:ascii="Lato" w:hAnsi="Lato"/>
        </w:rPr>
        <w:t>Critical care Supplies increased from $95 to $115</w:t>
      </w:r>
    </w:p>
    <w:p w14:paraId="71553FBE" w14:textId="77777777" w:rsidR="00C726B3" w:rsidRPr="000C088E" w:rsidRDefault="00C726B3" w:rsidP="00C726B3">
      <w:pPr>
        <w:pStyle w:val="ListParagraph"/>
        <w:numPr>
          <w:ilvl w:val="1"/>
          <w:numId w:val="5"/>
        </w:numPr>
        <w:rPr>
          <w:rFonts w:ascii="Lato" w:hAnsi="Lato"/>
        </w:rPr>
      </w:pPr>
      <w:r w:rsidRPr="000C088E">
        <w:rPr>
          <w:rFonts w:ascii="Lato" w:hAnsi="Lato"/>
        </w:rPr>
        <w:t>Initial Assessment rates no longer include a treatment and adjunctive therapy amount, they include complete history, physical examination, diagnosis and status inventory.  They are no longer included in the category limit and an initial assessment and subsequent treatment can be billed on the same day.</w:t>
      </w:r>
    </w:p>
    <w:p w14:paraId="6E7B4465" w14:textId="77777777" w:rsidR="00C726B3" w:rsidRPr="000C088E" w:rsidRDefault="00C726B3" w:rsidP="00C726B3">
      <w:pPr>
        <w:pStyle w:val="ListParagraph"/>
        <w:numPr>
          <w:ilvl w:val="1"/>
          <w:numId w:val="5"/>
        </w:numPr>
        <w:rPr>
          <w:rFonts w:ascii="Lato" w:hAnsi="Lato"/>
        </w:rPr>
      </w:pPr>
      <w:r w:rsidRPr="000C088E">
        <w:rPr>
          <w:rFonts w:ascii="Lato" w:hAnsi="Lato"/>
        </w:rPr>
        <w:t>No longer a separate bill item for a status inventory.</w:t>
      </w:r>
    </w:p>
    <w:p w14:paraId="09FBD7F2" w14:textId="77777777" w:rsidR="00C726B3" w:rsidRPr="000C088E" w:rsidRDefault="00C726B3" w:rsidP="00C726B3">
      <w:pPr>
        <w:pStyle w:val="ListParagraph"/>
        <w:numPr>
          <w:ilvl w:val="1"/>
          <w:numId w:val="5"/>
        </w:numPr>
        <w:rPr>
          <w:rFonts w:ascii="Lato" w:hAnsi="Lato"/>
        </w:rPr>
      </w:pPr>
      <w:r w:rsidRPr="000C088E">
        <w:rPr>
          <w:rFonts w:ascii="Lato" w:hAnsi="Lato"/>
        </w:rPr>
        <w:t xml:space="preserve">Re-exam tariff: $83.10 – within the Category limit and must include a status inventory, however, can be billed at the discretion of the treating chiropractor.  It is expected that re-exams are completed based on individual patient circumstances and injuries and the re-exam should be appropriate </w:t>
      </w:r>
      <w:r w:rsidRPr="000C088E">
        <w:rPr>
          <w:rFonts w:ascii="Lato" w:hAnsi="Lato"/>
        </w:rPr>
        <w:lastRenderedPageBreak/>
        <w:t xml:space="preserve">for the ongoing management of the claim and assessment of the treatment plan.  </w:t>
      </w:r>
    </w:p>
    <w:p w14:paraId="51D06FE0" w14:textId="77777777" w:rsidR="00C726B3" w:rsidRDefault="00C726B3" w:rsidP="00C726B3">
      <w:pPr>
        <w:pStyle w:val="ListParagraph"/>
        <w:numPr>
          <w:ilvl w:val="1"/>
          <w:numId w:val="5"/>
        </w:numPr>
        <w:rPr>
          <w:rFonts w:ascii="Lato" w:hAnsi="Lato"/>
        </w:rPr>
      </w:pPr>
      <w:r w:rsidRPr="000C088E">
        <w:rPr>
          <w:rFonts w:ascii="Lato" w:hAnsi="Lato"/>
        </w:rPr>
        <w:t>Clarity of 90 day lapse – 90 days after last treatment or 90 days after the MVA occurred.</w:t>
      </w:r>
    </w:p>
    <w:p w14:paraId="0F456A5A" w14:textId="77777777" w:rsidR="00C726B3" w:rsidRDefault="00C726B3" w:rsidP="00C726B3">
      <w:pPr>
        <w:pStyle w:val="ListParagraph"/>
        <w:rPr>
          <w:rFonts w:ascii="Lato" w:hAnsi="Lato"/>
          <w:b/>
          <w:bCs/>
        </w:rPr>
      </w:pPr>
    </w:p>
    <w:p w14:paraId="1F702FAE" w14:textId="03131CD3" w:rsidR="00C726B3" w:rsidRPr="00C726B3" w:rsidRDefault="00C726B3" w:rsidP="00C726B3">
      <w:pPr>
        <w:pStyle w:val="ListParagraph"/>
        <w:numPr>
          <w:ilvl w:val="0"/>
          <w:numId w:val="1"/>
        </w:numPr>
        <w:rPr>
          <w:rFonts w:ascii="Lato" w:hAnsi="Lato"/>
          <w:b/>
          <w:bCs/>
        </w:rPr>
      </w:pPr>
      <w:r w:rsidRPr="00C726B3">
        <w:rPr>
          <w:rFonts w:ascii="Lato" w:hAnsi="Lato"/>
          <w:b/>
          <w:bCs/>
        </w:rPr>
        <w:t xml:space="preserve">When will this be effective? </w:t>
      </w:r>
    </w:p>
    <w:p w14:paraId="2DE1F569" w14:textId="77777777" w:rsidR="00C726B3" w:rsidRPr="000C088E" w:rsidRDefault="00C726B3" w:rsidP="00C726B3">
      <w:pPr>
        <w:pStyle w:val="ListParagraph"/>
        <w:numPr>
          <w:ilvl w:val="0"/>
          <w:numId w:val="7"/>
        </w:numPr>
        <w:rPr>
          <w:rFonts w:ascii="Lato" w:hAnsi="Lato"/>
        </w:rPr>
      </w:pPr>
      <w:r w:rsidRPr="000C088E">
        <w:rPr>
          <w:rFonts w:ascii="Lato" w:hAnsi="Lato"/>
        </w:rPr>
        <w:t xml:space="preserve">January 1, 2026.  </w:t>
      </w:r>
    </w:p>
    <w:p w14:paraId="509096C2" w14:textId="77777777" w:rsidR="00C726B3" w:rsidRPr="000C088E" w:rsidRDefault="00C726B3" w:rsidP="00C726B3">
      <w:pPr>
        <w:pStyle w:val="ListParagraph"/>
        <w:numPr>
          <w:ilvl w:val="1"/>
          <w:numId w:val="1"/>
        </w:numPr>
        <w:rPr>
          <w:rFonts w:ascii="Lato" w:hAnsi="Lato"/>
        </w:rPr>
      </w:pPr>
      <w:r w:rsidRPr="000C088E">
        <w:rPr>
          <w:rFonts w:ascii="Lato" w:hAnsi="Lato"/>
          <w:b/>
          <w:bCs/>
        </w:rPr>
        <w:t>To note:</w:t>
      </w:r>
      <w:r w:rsidRPr="000C088E">
        <w:rPr>
          <w:rFonts w:ascii="Lato" w:hAnsi="Lato"/>
        </w:rPr>
        <w:t xml:space="preserve"> Year 1 is a period of 15 months.  Year 2 rates will not come into effect until April 1, 2027.  No retroactive payments are anticipated as MPI will start paying the higher rates as of January 1, 2026.</w:t>
      </w:r>
    </w:p>
    <w:p w14:paraId="6F90C205" w14:textId="77777777" w:rsidR="00C726B3" w:rsidRPr="00C726B3" w:rsidRDefault="00C726B3" w:rsidP="00C726B3">
      <w:pPr>
        <w:rPr>
          <w:rFonts w:ascii="Lato" w:hAnsi="Lato"/>
        </w:rPr>
      </w:pPr>
    </w:p>
    <w:p w14:paraId="74EBA9C4" w14:textId="3C897238" w:rsidR="00C726B3" w:rsidRPr="00C726B3" w:rsidRDefault="00C726B3" w:rsidP="00C726B3">
      <w:pPr>
        <w:pStyle w:val="ListParagraph"/>
        <w:numPr>
          <w:ilvl w:val="0"/>
          <w:numId w:val="1"/>
        </w:numPr>
        <w:rPr>
          <w:rFonts w:ascii="Lato" w:hAnsi="Lato"/>
          <w:b/>
          <w:bCs/>
        </w:rPr>
      </w:pPr>
      <w:r w:rsidRPr="00C726B3">
        <w:rPr>
          <w:rFonts w:ascii="Lato" w:hAnsi="Lato"/>
          <w:b/>
          <w:bCs/>
        </w:rPr>
        <w:t>What is staying the same?</w:t>
      </w:r>
    </w:p>
    <w:p w14:paraId="1618BF07" w14:textId="47A3E096" w:rsidR="00C726B3" w:rsidRDefault="00C726B3" w:rsidP="00C726B3">
      <w:pPr>
        <w:pStyle w:val="ListParagraph"/>
        <w:numPr>
          <w:ilvl w:val="1"/>
          <w:numId w:val="1"/>
        </w:numPr>
        <w:rPr>
          <w:rFonts w:ascii="Lato" w:hAnsi="Lato"/>
        </w:rPr>
      </w:pPr>
      <w:r w:rsidRPr="00C726B3">
        <w:rPr>
          <w:rFonts w:ascii="Lato" w:hAnsi="Lato"/>
        </w:rPr>
        <w:t>There were no changes to the signing page, guide for chiropractic treatment, chiropractic agreement and legal terms.</w:t>
      </w:r>
    </w:p>
    <w:p w14:paraId="74B242C7" w14:textId="77777777" w:rsidR="00C726B3" w:rsidRPr="00C726B3" w:rsidRDefault="00C726B3" w:rsidP="00C726B3">
      <w:pPr>
        <w:pStyle w:val="ListParagraph"/>
        <w:ind w:left="1440"/>
        <w:rPr>
          <w:rFonts w:ascii="Lato" w:hAnsi="Lato"/>
        </w:rPr>
      </w:pPr>
    </w:p>
    <w:p w14:paraId="527A6428" w14:textId="77777777" w:rsidR="00C726B3" w:rsidRPr="00C726B3" w:rsidRDefault="00C726B3" w:rsidP="00C726B3">
      <w:pPr>
        <w:pStyle w:val="ListParagraph"/>
        <w:numPr>
          <w:ilvl w:val="0"/>
          <w:numId w:val="1"/>
        </w:numPr>
        <w:rPr>
          <w:rFonts w:ascii="Lato" w:hAnsi="Lato"/>
          <w:b/>
          <w:bCs/>
        </w:rPr>
      </w:pPr>
      <w:r w:rsidRPr="00C726B3">
        <w:rPr>
          <w:rFonts w:ascii="Lato" w:hAnsi="Lato"/>
          <w:b/>
          <w:bCs/>
        </w:rPr>
        <w:t>Questions</w:t>
      </w:r>
    </w:p>
    <w:p w14:paraId="630271A8" w14:textId="13522C4E" w:rsidR="00C726B3" w:rsidRPr="00C726B3" w:rsidRDefault="00C726B3" w:rsidP="00C726B3">
      <w:pPr>
        <w:pStyle w:val="ListParagraph"/>
        <w:numPr>
          <w:ilvl w:val="1"/>
          <w:numId w:val="1"/>
        </w:numPr>
        <w:rPr>
          <w:rFonts w:ascii="Lato" w:hAnsi="Lato"/>
        </w:rPr>
      </w:pPr>
      <w:r w:rsidRPr="00C726B3">
        <w:rPr>
          <w:rFonts w:ascii="Lato" w:hAnsi="Lato"/>
        </w:rPr>
        <w:t>Questions from members will be updated to the FAQ as received.</w:t>
      </w:r>
    </w:p>
    <w:p w14:paraId="0B053D04" w14:textId="77777777" w:rsidR="00C726B3" w:rsidRDefault="00C726B3" w:rsidP="00C726B3">
      <w:pPr>
        <w:rPr>
          <w:rFonts w:ascii="Lato" w:hAnsi="Lato"/>
        </w:rPr>
      </w:pPr>
    </w:p>
    <w:p w14:paraId="4BF5F28D" w14:textId="41D60489" w:rsidR="0032421E" w:rsidRPr="0032421E" w:rsidRDefault="0032421E" w:rsidP="00C726B3">
      <w:pPr>
        <w:rPr>
          <w:rFonts w:ascii="Lato" w:hAnsi="Lato"/>
          <w:b/>
          <w:bCs/>
          <w:sz w:val="32"/>
          <w:szCs w:val="32"/>
        </w:rPr>
      </w:pPr>
      <w:r w:rsidRPr="0032421E">
        <w:rPr>
          <w:rFonts w:ascii="Lato" w:hAnsi="Lato"/>
          <w:b/>
          <w:bCs/>
          <w:sz w:val="32"/>
          <w:szCs w:val="32"/>
        </w:rPr>
        <w:t xml:space="preserve">Questions: </w:t>
      </w:r>
    </w:p>
    <w:p w14:paraId="1AFD7872" w14:textId="29670910" w:rsidR="0032421E" w:rsidRDefault="0032421E" w:rsidP="0032421E">
      <w:pPr>
        <w:ind w:left="720"/>
        <w:rPr>
          <w:rFonts w:ascii="Lato" w:hAnsi="Lato"/>
        </w:rPr>
      </w:pPr>
      <w:r w:rsidRPr="0032421E">
        <w:rPr>
          <w:rFonts w:ascii="Lato" w:hAnsi="Lato"/>
          <w:b/>
          <w:bCs/>
        </w:rPr>
        <w:t>Q:</w:t>
      </w:r>
      <w:r>
        <w:rPr>
          <w:rFonts w:ascii="Lato" w:hAnsi="Lato"/>
        </w:rPr>
        <w:t xml:space="preserve"> Will the updated 2026 </w:t>
      </w:r>
      <w:r w:rsidR="00031FDD">
        <w:rPr>
          <w:rFonts w:ascii="Lato" w:hAnsi="Lato"/>
        </w:rPr>
        <w:t>rate card</w:t>
      </w:r>
      <w:r>
        <w:rPr>
          <w:rFonts w:ascii="Lato" w:hAnsi="Lato"/>
        </w:rPr>
        <w:t xml:space="preserve"> changes affect claims with a date of loss prior to January 1, 2026? </w:t>
      </w:r>
    </w:p>
    <w:p w14:paraId="1B53DCF7" w14:textId="261BF25A" w:rsidR="00031FDD" w:rsidRPr="00031FDD" w:rsidRDefault="0032421E" w:rsidP="00031FDD">
      <w:pPr>
        <w:ind w:left="720"/>
        <w:rPr>
          <w:rFonts w:ascii="Lato" w:hAnsi="Lato"/>
        </w:rPr>
      </w:pPr>
      <w:r w:rsidRPr="0032421E">
        <w:rPr>
          <w:rFonts w:ascii="Lato" w:hAnsi="Lato"/>
          <w:b/>
          <w:bCs/>
        </w:rPr>
        <w:t>A:</w:t>
      </w:r>
      <w:r>
        <w:rPr>
          <w:rFonts w:ascii="Lato" w:hAnsi="Lato"/>
        </w:rPr>
        <w:t xml:space="preserve"> </w:t>
      </w:r>
    </w:p>
    <w:p w14:paraId="7B50ADB1" w14:textId="6C66B823" w:rsidR="00031FDD" w:rsidRPr="00031FDD" w:rsidRDefault="00031FDD" w:rsidP="004161D7">
      <w:pPr>
        <w:pStyle w:val="ListParagraph"/>
        <w:numPr>
          <w:ilvl w:val="1"/>
          <w:numId w:val="10"/>
        </w:numPr>
        <w:rPr>
          <w:rFonts w:ascii="Lato" w:hAnsi="Lato"/>
        </w:rPr>
      </w:pPr>
      <w:r w:rsidRPr="00031FDD">
        <w:rPr>
          <w:rFonts w:ascii="Lato" w:hAnsi="Lato"/>
        </w:rPr>
        <w:t xml:space="preserve">Any fees included within the category limit (eg. subsequent visits with a modality, re-exams) can be billed on claims with a date of loss prior to January 1, 2026 at the new rate amount effective January 1, 2026.  </w:t>
      </w:r>
    </w:p>
    <w:p w14:paraId="612467D2" w14:textId="77777777" w:rsidR="00031FDD" w:rsidRPr="00031FDD" w:rsidRDefault="00031FDD" w:rsidP="004161D7">
      <w:pPr>
        <w:pStyle w:val="ListParagraph"/>
        <w:numPr>
          <w:ilvl w:val="1"/>
          <w:numId w:val="10"/>
        </w:numPr>
        <w:rPr>
          <w:rFonts w:ascii="Lato" w:hAnsi="Lato"/>
        </w:rPr>
      </w:pPr>
      <w:r w:rsidRPr="00031FDD">
        <w:rPr>
          <w:rFonts w:ascii="Lato" w:hAnsi="Lato"/>
        </w:rPr>
        <w:t xml:space="preserve">Category limits for claims prior to January 1, 2026, will not automatically increase to the January 1, 2026 rates.  These rates will remain based on date of loss, unless the claimant qualifies for a new Category of Care after January 1, 2026 and then the updated Category rate would apply.  </w:t>
      </w:r>
    </w:p>
    <w:p w14:paraId="4CAFBB54" w14:textId="2E9A1A1E" w:rsidR="00031FDD" w:rsidRPr="00031FDD" w:rsidRDefault="00031FDD" w:rsidP="004161D7">
      <w:pPr>
        <w:pStyle w:val="ListParagraph"/>
        <w:numPr>
          <w:ilvl w:val="1"/>
          <w:numId w:val="10"/>
        </w:numPr>
        <w:rPr>
          <w:rFonts w:ascii="Lato" w:hAnsi="Lato"/>
        </w:rPr>
      </w:pPr>
      <w:r w:rsidRPr="00031FDD">
        <w:rPr>
          <w:rFonts w:ascii="Lato" w:hAnsi="Lato"/>
        </w:rPr>
        <w:t xml:space="preserve">As per the 2026 rate card, re-exams may be completed at the chiropractors discretion on claims dated prior to January 1, 2026, however, the Category limit that would be applied is based on the </w:t>
      </w:r>
      <w:r w:rsidR="006C1428">
        <w:rPr>
          <w:rFonts w:ascii="Lato" w:hAnsi="Lato"/>
        </w:rPr>
        <w:t>Date of Loss.</w:t>
      </w:r>
    </w:p>
    <w:p w14:paraId="3C1C3991" w14:textId="0CB26FC4" w:rsidR="0032421E" w:rsidRDefault="0032421E" w:rsidP="0032421E">
      <w:pPr>
        <w:ind w:left="720"/>
        <w:rPr>
          <w:rFonts w:ascii="Lato" w:hAnsi="Lato"/>
        </w:rPr>
      </w:pPr>
    </w:p>
    <w:p w14:paraId="3287175E" w14:textId="77777777" w:rsidR="0032421E" w:rsidRPr="0032421E" w:rsidRDefault="0032421E" w:rsidP="0032421E">
      <w:pPr>
        <w:pStyle w:val="ListParagraph"/>
        <w:ind w:left="1440"/>
        <w:rPr>
          <w:rFonts w:ascii="Lato" w:hAnsi="Lato"/>
        </w:rPr>
      </w:pPr>
    </w:p>
    <w:sectPr w:rsidR="0032421E" w:rsidRPr="0032421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9FAC8" w14:textId="77777777" w:rsidR="002D0345" w:rsidRDefault="002D0345" w:rsidP="00C726B3">
      <w:pPr>
        <w:spacing w:after="0" w:line="240" w:lineRule="auto"/>
      </w:pPr>
      <w:r>
        <w:separator/>
      </w:r>
    </w:p>
  </w:endnote>
  <w:endnote w:type="continuationSeparator" w:id="0">
    <w:p w14:paraId="3185A7DC" w14:textId="77777777" w:rsidR="002D0345" w:rsidRDefault="002D0345" w:rsidP="00C72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altName w:val="Arial"/>
    <w:panose1 w:val="020F0502020204030203"/>
    <w:charset w:val="00"/>
    <w:family w:val="swiss"/>
    <w:pitch w:val="variable"/>
    <w:sig w:usb0="800000AF" w:usb1="4000604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D181A" w14:textId="77777777" w:rsidR="002D0345" w:rsidRDefault="002D0345" w:rsidP="00C726B3">
      <w:pPr>
        <w:spacing w:after="0" w:line="240" w:lineRule="auto"/>
      </w:pPr>
      <w:r>
        <w:separator/>
      </w:r>
    </w:p>
  </w:footnote>
  <w:footnote w:type="continuationSeparator" w:id="0">
    <w:p w14:paraId="310CE47E" w14:textId="77777777" w:rsidR="002D0345" w:rsidRDefault="002D0345" w:rsidP="00C726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5DE65" w14:textId="0C1D728F" w:rsidR="00C726B3" w:rsidRDefault="00C726B3">
    <w:pPr>
      <w:pStyle w:val="Header"/>
    </w:pPr>
    <w:r w:rsidRPr="001B3861">
      <w:rPr>
        <w:rFonts w:ascii="Lato" w:hAnsi="Lato"/>
        <w:noProof/>
      </w:rPr>
      <w:drawing>
        <wp:inline distT="0" distB="0" distL="0" distR="0" wp14:anchorId="60C08C19" wp14:editId="75B4B0AF">
          <wp:extent cx="1819275" cy="466725"/>
          <wp:effectExtent l="0" t="0" r="9525" b="9525"/>
          <wp:docPr id="20" name="Picture 5"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5" descr="A close 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75" cy="466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2A4E"/>
    <w:multiLevelType w:val="hybridMultilevel"/>
    <w:tmpl w:val="E102A0B2"/>
    <w:lvl w:ilvl="0" w:tplc="04090019">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841673F"/>
    <w:multiLevelType w:val="hybridMultilevel"/>
    <w:tmpl w:val="513016A8"/>
    <w:lvl w:ilvl="0" w:tplc="0409000F">
      <w:start w:val="1"/>
      <w:numFmt w:val="decimal"/>
      <w:lvlText w:val="%1."/>
      <w:lvlJc w:val="left"/>
      <w:pPr>
        <w:ind w:left="360" w:hanging="360"/>
      </w:pPr>
      <w:rPr>
        <w:rFonts w:hint="default"/>
      </w:rPr>
    </w:lvl>
    <w:lvl w:ilvl="1" w:tplc="0409001B">
      <w:start w:val="1"/>
      <w:numFmt w:val="lowerRoman"/>
      <w:lvlText w:val="%2."/>
      <w:lvlJc w:val="righ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CB06151"/>
    <w:multiLevelType w:val="hybridMultilevel"/>
    <w:tmpl w:val="BD2230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3E0AD0"/>
    <w:multiLevelType w:val="hybridMultilevel"/>
    <w:tmpl w:val="EEA6119E"/>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B4E0F21"/>
    <w:multiLevelType w:val="hybridMultilevel"/>
    <w:tmpl w:val="8A6E3996"/>
    <w:lvl w:ilvl="0" w:tplc="0409001B">
      <w:start w:val="1"/>
      <w:numFmt w:val="lowerRoman"/>
      <w:lvlText w:val="%1."/>
      <w:lvlJc w:val="right"/>
      <w:pPr>
        <w:ind w:left="144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5D874A54"/>
    <w:multiLevelType w:val="hybridMultilevel"/>
    <w:tmpl w:val="90CAFEEE"/>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FCF4DF8"/>
    <w:multiLevelType w:val="hybridMultilevel"/>
    <w:tmpl w:val="E2764FA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E0C0DC2"/>
    <w:multiLevelType w:val="hybridMultilevel"/>
    <w:tmpl w:val="937EAD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A936ED"/>
    <w:multiLevelType w:val="hybridMultilevel"/>
    <w:tmpl w:val="C7688B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9F325A7"/>
    <w:multiLevelType w:val="hybridMultilevel"/>
    <w:tmpl w:val="4EE65488"/>
    <w:lvl w:ilvl="0" w:tplc="4F6AF652">
      <w:start w:val="1"/>
      <w:numFmt w:val="decimal"/>
      <w:lvlText w:val="%1.)"/>
      <w:lvlJc w:val="left"/>
      <w:pPr>
        <w:ind w:left="1440" w:hanging="360"/>
      </w:pPr>
      <w:rPr>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645818754">
    <w:abstractNumId w:val="7"/>
  </w:num>
  <w:num w:numId="2" w16cid:durableId="477723875">
    <w:abstractNumId w:val="1"/>
  </w:num>
  <w:num w:numId="3" w16cid:durableId="923881532">
    <w:abstractNumId w:val="5"/>
  </w:num>
  <w:num w:numId="4" w16cid:durableId="113604287">
    <w:abstractNumId w:val="4"/>
  </w:num>
  <w:num w:numId="5" w16cid:durableId="255482464">
    <w:abstractNumId w:val="2"/>
  </w:num>
  <w:num w:numId="6" w16cid:durableId="256251878">
    <w:abstractNumId w:val="3"/>
  </w:num>
  <w:num w:numId="7" w16cid:durableId="499471303">
    <w:abstractNumId w:val="0"/>
  </w:num>
  <w:num w:numId="8" w16cid:durableId="1402408109">
    <w:abstractNumId w:val="8"/>
  </w:num>
  <w:num w:numId="9" w16cid:durableId="7766019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45575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6B3"/>
    <w:rsid w:val="00031FDD"/>
    <w:rsid w:val="000F64D9"/>
    <w:rsid w:val="0026221B"/>
    <w:rsid w:val="002D0345"/>
    <w:rsid w:val="0032421E"/>
    <w:rsid w:val="00393057"/>
    <w:rsid w:val="004161D7"/>
    <w:rsid w:val="004252BF"/>
    <w:rsid w:val="00432DDF"/>
    <w:rsid w:val="006A34A9"/>
    <w:rsid w:val="006C1428"/>
    <w:rsid w:val="009E0C1C"/>
    <w:rsid w:val="00A33961"/>
    <w:rsid w:val="00BC3464"/>
    <w:rsid w:val="00C709CD"/>
    <w:rsid w:val="00C726B3"/>
    <w:rsid w:val="00CA16F3"/>
    <w:rsid w:val="00CC227A"/>
    <w:rsid w:val="00D4689E"/>
    <w:rsid w:val="00E477F8"/>
    <w:rsid w:val="00F24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B114A"/>
  <w15:chartTrackingRefBased/>
  <w15:docId w15:val="{8D198D4C-C389-4A46-8428-822E0B968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6B3"/>
  </w:style>
  <w:style w:type="paragraph" w:styleId="Heading1">
    <w:name w:val="heading 1"/>
    <w:basedOn w:val="Normal"/>
    <w:next w:val="Normal"/>
    <w:link w:val="Heading1Char"/>
    <w:uiPriority w:val="9"/>
    <w:qFormat/>
    <w:rsid w:val="00C726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26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26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26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26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26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26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26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26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26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26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26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26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26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26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26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26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26B3"/>
    <w:rPr>
      <w:rFonts w:eastAsiaTheme="majorEastAsia" w:cstheme="majorBidi"/>
      <w:color w:val="272727" w:themeColor="text1" w:themeTint="D8"/>
    </w:rPr>
  </w:style>
  <w:style w:type="paragraph" w:styleId="Title">
    <w:name w:val="Title"/>
    <w:basedOn w:val="Normal"/>
    <w:next w:val="Normal"/>
    <w:link w:val="TitleChar"/>
    <w:uiPriority w:val="10"/>
    <w:qFormat/>
    <w:rsid w:val="00C726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26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26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26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26B3"/>
    <w:pPr>
      <w:spacing w:before="160"/>
      <w:jc w:val="center"/>
    </w:pPr>
    <w:rPr>
      <w:i/>
      <w:iCs/>
      <w:color w:val="404040" w:themeColor="text1" w:themeTint="BF"/>
    </w:rPr>
  </w:style>
  <w:style w:type="character" w:customStyle="1" w:styleId="QuoteChar">
    <w:name w:val="Quote Char"/>
    <w:basedOn w:val="DefaultParagraphFont"/>
    <w:link w:val="Quote"/>
    <w:uiPriority w:val="29"/>
    <w:rsid w:val="00C726B3"/>
    <w:rPr>
      <w:i/>
      <w:iCs/>
      <w:color w:val="404040" w:themeColor="text1" w:themeTint="BF"/>
    </w:rPr>
  </w:style>
  <w:style w:type="paragraph" w:styleId="ListParagraph">
    <w:name w:val="List Paragraph"/>
    <w:basedOn w:val="Normal"/>
    <w:uiPriority w:val="34"/>
    <w:qFormat/>
    <w:rsid w:val="00C726B3"/>
    <w:pPr>
      <w:ind w:left="720"/>
      <w:contextualSpacing/>
    </w:pPr>
  </w:style>
  <w:style w:type="character" w:styleId="IntenseEmphasis">
    <w:name w:val="Intense Emphasis"/>
    <w:basedOn w:val="DefaultParagraphFont"/>
    <w:uiPriority w:val="21"/>
    <w:qFormat/>
    <w:rsid w:val="00C726B3"/>
    <w:rPr>
      <w:i/>
      <w:iCs/>
      <w:color w:val="0F4761" w:themeColor="accent1" w:themeShade="BF"/>
    </w:rPr>
  </w:style>
  <w:style w:type="paragraph" w:styleId="IntenseQuote">
    <w:name w:val="Intense Quote"/>
    <w:basedOn w:val="Normal"/>
    <w:next w:val="Normal"/>
    <w:link w:val="IntenseQuoteChar"/>
    <w:uiPriority w:val="30"/>
    <w:qFormat/>
    <w:rsid w:val="00C726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26B3"/>
    <w:rPr>
      <w:i/>
      <w:iCs/>
      <w:color w:val="0F4761" w:themeColor="accent1" w:themeShade="BF"/>
    </w:rPr>
  </w:style>
  <w:style w:type="character" w:styleId="IntenseReference">
    <w:name w:val="Intense Reference"/>
    <w:basedOn w:val="DefaultParagraphFont"/>
    <w:uiPriority w:val="32"/>
    <w:qFormat/>
    <w:rsid w:val="00C726B3"/>
    <w:rPr>
      <w:b/>
      <w:bCs/>
      <w:smallCaps/>
      <w:color w:val="0F4761" w:themeColor="accent1" w:themeShade="BF"/>
      <w:spacing w:val="5"/>
    </w:rPr>
  </w:style>
  <w:style w:type="paragraph" w:styleId="Header">
    <w:name w:val="header"/>
    <w:basedOn w:val="Normal"/>
    <w:link w:val="HeaderChar"/>
    <w:uiPriority w:val="99"/>
    <w:unhideWhenUsed/>
    <w:rsid w:val="00C72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6B3"/>
  </w:style>
  <w:style w:type="paragraph" w:styleId="Footer">
    <w:name w:val="footer"/>
    <w:basedOn w:val="Normal"/>
    <w:link w:val="FooterChar"/>
    <w:uiPriority w:val="99"/>
    <w:unhideWhenUsed/>
    <w:rsid w:val="00C72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537</Words>
  <Characters>2612</Characters>
  <Application>Microsoft Office Word</Application>
  <DocSecurity>0</DocSecurity>
  <Lines>68</Lines>
  <Paragraphs>34</Paragraphs>
  <ScaleCrop>false</ScaleCrop>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Procter, Nevada</dc:creator>
  <cp:keywords/>
  <dc:description/>
  <cp:lastModifiedBy>Procter, Nevada</cp:lastModifiedBy>
  <cp:revision>5</cp:revision>
  <dcterms:created xsi:type="dcterms:W3CDTF">2025-11-25T14:39:00Z</dcterms:created>
  <dcterms:modified xsi:type="dcterms:W3CDTF">2025-12-02T20:24:00Z</dcterms:modified>
</cp:coreProperties>
</file>